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praktickém životě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životnímu prostředí. Žák se učí rozpoznávat aktuální problémy současného světa a hledat vhodná nápravná řešení pro sebe i ostatní občany.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obeznámit žáky s koloběhem látek (uhlík, dusík, kyslík, voda) v přírodě a s tokem energie. Tento modul je zaměřen zejména prakticky. Vede žáky k šetření zdroji, vodou a energiemi. Žáci budou schopni navrhnout ekologizaci provozu školy, domova mládeže či domova. V průběhu modulu budou mimo jiné provádět monitoring spotřeby vody a elektřiny, kontrolu kapajících kohoutků, protékajících WC zařízení, monitoring využívání umělého osvětlení či monitoring využívání alternativní zdrojů energie. Vzdělávání směřuje k prohloubení kladného vztahu k přírodě a životu, k uvědomění si významu zdravého životního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 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koloběh látek v přírodě a tok energie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 konkrétních podmínkách, uvede příklady znečišťování vody a vzduchu v pracovním prostředí a v domácnosti a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postupy týkající se ochrany a tvorby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ekologické návyky moderního člověka (hygiena bez zbytečného plýtvání vodou, třídění domovního odpadu, renovace a recyklace věcí, výhodnost XXL balení zboží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čistírnou odpadních vod a úpravnou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v přírodě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tok energie, zdroje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obnovitelné zdroje nejen v 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bez fosilních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činnostní strategie, kdy jsou žáci aktivně zapojeni do vzdělávacího procesu, jsou jim poskytnuty možnosti podílet se na volbě učebních cílů a jsou vedeni k poznávání různých způsobů, jak se učit.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pracovních listů (Energie v mém životě, Úspory v domácnosti, Elektřina bez fosilních paliv, Alternativa transportu, Odpady v domácnosti a jejich recyklace 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(pasivní dům, elektrárna či teplárna vyrábějící elektrickou či tepelnou energii z obnovitelných surovin, čistírna odpadních vod, úpravna vody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a jejich prezentace na téma návrh ekologizace provozu školy či 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činností žáka a jejich výsledků), tak v jeho závěru s pomocí speciálních aktivit. V praxi je vhodné tyto dva přístupy kombinovat. Těžiště při hodnocení praktických činností spočívá především v postupu s přihlédnutím k 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(výstupem je projekt, prezentace 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koloběh látek v přírodě a tok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 stav životního prostředí v konkrétních podmínkách, uvede příklady znečišťování vody a vzduchu v pracovním prostředí a v domácnosti a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postupy týkající se ochrany a tvorby životního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základní ekologické návyky moderního člověka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rozdíl mezi čistírnou odpadních vod a úpravnou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na téma návrh ekologizace provozu školy či domácnosti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 na exkurzi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pracní listy, nevytvořil prezentaci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