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říkáme a píšeme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ČJ-m-3/AG84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komunikace a slohu.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Komunikace a sloh a je úzce propojen s moduly Píšeme správně česky a Mluvíme správně česky.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učí využívat různé komunikační strategie v proměnlivých komunikačních situacích, naučí se volit formu mluveného i písemného projevu adekvátní účelu textu, a to při respektování slohotvorných činitelů. Využívají přitom znalosti základních charakteristických rysů vybraných funkčních stylů (zejména administrativního a odborného) a slohových postupů a útvarů. Za současného respektování zásad jazykové kultury vytvářejí myšlenkově strukturované, a přitom ucelené a koherentní texty.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souvislý, ucelený a strukturovaný text odpovídající komunikační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jednoduchý odborný text v oblasti daného oboru vzdělání;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pronese krátký mluvený projev v různých komunikačních situacích vyžadujících formální i neformální interakci.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Mluvené projevy;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písemné projevy;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verbální a nonverbální komunikace;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slohové útvary;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slohové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vytváření textů pro různé komunikační situace v psané i mluvené podobě. Mluvené a psané komunikaci je věnována přibližně stejná časová dotace.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psaní textů pro běžné životní komunikační situace (formální i neformální korespondence – administrativní interakce)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psaní odborného textu v souladu s předmětným oborem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monologická vystoupení žáků (o vlastní osobě)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formální i neformální interakce (mluvená, psaná v papírové i elektronické podobě)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 komunikace v problematických situacích (kritika, manipulace, konflikt…)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nácvik souladu prostředků verbální a nonverbální komunikace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aktivní role vyučujícího – porovnání výhod/nevýhod prostředků užívaných v psaných a mluvených projevech, vytváření modelových komunikačních situací…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užíváno prvků formativního hodnocení, na konci modulu je využito nástrojů sumativního i formativního hodnocení. Závěrečné hodnocení u výsledků učení a) a b) má podobu žákem vytvořeného písemného projevu podle zadaných kritérií. U výsledku učení c) je žák hodnocen na škále uspěl – neuspěl, a to na základě průběžného hodnocení. Předmětem hodnocení je zde především dosažený pokrok v dovednostech potřebných k uplatnění v běžných mluvených komunikačních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se u všech výsledků učení používá formativní hodnocení, přičemž důraz je kladen na skutečnost, že hodnocení je nástrojem vedoucím ke zvyšování úrovně daných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žákova písemného projevu /výsledky učení a) a  b)/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adekvátnost formy písemného projevu účelu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funkčnost užitých jazykových 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kompoziční výstavbu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jazykovou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má v celkovém hodnocení písemného projevu váhu 25 %. Všechna kritéria jsou hodnocena na škále uspěl – neuspěl. Případné bodové hodnocení v rámci jednotlivých kritérií je v kompetenci vyučujícího v závislosti na podmínkách konkrétní školy. Žák v této části uspěl, pokud uspěl ve všech kritériích.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výběru a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až po absolvování modulů Píšeme správně česky a Mluvíme správně česky.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