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Víme, co čteme a slyšíme (H)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ČJ-m-3/AG83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ČJ - Český jazyk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je osvojení odpovídajících očekáváných výstupů RVP ZV v oblasti čtenářské gramotnosti.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zásadní pro celou vzdělávací oblast a pokrývá obsahový okruh Neumělecký text a informace.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zaměřen na rozvoj čtenářských dovedností žáků a jeho smyslem je upevnění a další rozvoj dovedností v oblasti práce s informacemi. Žáci se učí rozlišovat mezi různými typy textu a osvojují si dovednost rozlišení zdůvodnit. Předmětem modulu je také zpracování informací ze čteného i slyšeného textu a jejich základní interpretace. V modulu se pracuje se souvislými (lineárními) i nesouvislými (nelineárními) texty včetně jejich kombinací. Žáci si v modulu rovněž osvojují dovednosti sebeprezentace a obhajoby vlastních názorů.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nalezne požadované informace v tištěném textu/vybere požadované informace ze slyšeného textu;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vysvětlí/odhadne význam konkrétní pasáže tištěného/slyšeného textu;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rozliší podstatné a nepodstatné informace a posoudí jejich věrohodnost;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rozezná v tištěném/slyšeném textu manipulativní prvky, konstatování skutečnosti, vyjádření názoru a domněnky;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prezentuje vlastní názor na text a obhájí vlastní tvrzení.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Čtenářské dovednosti;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kritické myšlení;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práce s informacemi;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textová manipulace.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Obsahem modulu je rozvoj čtenářské gramotnosti žáků. Žáci se učí kritické práci s informacemi od jejich příjmu přes posouzení až k jejich samostatnému zpracování. Pracuje se s tištěnými souvislými i nesouvislými (graf, obrázek, mapa, tabulka schéma…) texty včetně jejich kombinací, audio a videoukázkami.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tematickými soubory úloh zaměřenými na rozvoj a ověřování čtenářských dovedností;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audio/videoukázkami s metodickým vedením vyučujícího;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pracovními listy k tištěným textům / audio/videoukázkám (práce s úlohami i pracovními listy může probíhat individuálně i ve skupinách);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zpracování přečteného textu do formy krátké prezentace a její předvedení;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obhajoba prezentace v diskusi;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řízená diskuse k problematice prezentování faktů, názorů, domněnek prostřednictvím psaného i mluveného slova;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ukázkami obsahujícími prvky manipulativního charakteru.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Průběžně je prováděno hodnocení s využitím prvků formativního hodnocení, na konci modulu je využito nástrojů sumativního i formativního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nalezne požadované informace v tištěném textu / vybere požadované informace ze slyšeného textu;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modulu ověřováno prostřednictvím pracovních listů a souborů úloh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vysvětlí/odhadne význam konkrétní pasáže tištěného/slyšeného textu;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modulu ověřováno prostřednictvím pracovních listů a souborů úloh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rozliší podstatné a nepodstatné informace a posoudí jejich věrohodnost;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modulu ověřováno prostřednictvím pracovních listů a souborů úloh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rozezná v tištěném/slyšeném textu manipulativní prvky, konstatování skutečnosti, vyjádření názoru a domněnky;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modulu ověřováno prostřednictvím pracovních listů a souborů úloh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a)–d) ověřovány v závěru modulu souhrnným testem, jehož specifikací jsou předmětné výsledky učení. Základní nastavení specifikace testu je 25% zastoupení každého výsledku učení. Toto nastavení lze měnit podle potřeb jednotlivých vyučujících, přičemž zastoupení jednotlivých výsledků učení nesmí klesnout pod 10 %. Procentuální zastoupení výsledku učení je odvozeno od maximálního získatelného počtu bodů za daný výsledek učení (nikoli tedy od počtu úloh – může se jednat o dramatický rozdíl).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prezentuje vlastní názor na text a obhájí vlastní tvrzení;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ověřováno prostřednictvím individuální prezentace žáka a obhajobou jeho prezentace v následné diskusi řízené vyučujícím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průběžném hodnocení dosahovaných jednotlivých výsledků učení a)–d) je využíváno souborů úloh/pracovních listů, které zaručují vysokou objektivitu hodnocení – hodnocení na úrovni stanovení mezní hranice úspěšnosti a od ní odvozených bodových rozmezí pro případné vyjádření výsledku žáka známkou nebo jiným číselným či slovním způsobem je u jednotlivých výsledků učení v kompetenci vyučujícího. Zároveň se doporučuje souběžně využít prvků formativního hodnocení. Při vhodně užitých souborech úloh/pracovních listech lze sledovat dosažený pokrok každého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 e) je hodnocen na základě průběžného hodnocení, a to na škále uspěl – neuspěl.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závěrečném ověřování dosažených výsledků učení souhrnným testem jsou doporučená kritéria nastavena následovně: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Mezní úroveň úspěšnosti je stanovena na 40 %.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Převodník dosažené úspěšnosti na známku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pod 40 % =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40 do 55 % =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56 do 70 % =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71 do 85 % =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86 do 100 % =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Podmínkou pro celkovou klasifikaci výborný – dostatečný je hodnocení uspěl u výsledku učení e).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Nastavená obtížnost testu musí odpovídat dovednostem žáků kategorie vzdělání H, tzn. doporučuje se používat úlohy s průměrnou a nižší úrovní obtížnosti. Zařazení obtížných úloh by vyvolávalo potřebu snižovat mezní hranici úspěšnosti a použitý evaluační nástroj (test) by vykazoval nevyhovující psychometrické charakteristiky.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Starý, K. a kol.: Úlohy pro rozvoj čtenářské gramotnosti. Praha, ČŠI 2013. Dostupné z: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https://www.csicr.cz/getattachment/Prave-menu/Mezinarodni-setreni/Vyuziti-vysledku-vyzkumu/Vyuziti-vysledku-vyzkumu-seznam-clanku/Ulohy-pro-rozvoj-ctenarske-gramotnosti/Ulohy_pro_rozvoj_ctenarske_gramotnosti.pdf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pracovat s texty obsahově blízkými danému oboru vzdělání, případně zájmům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www.csicr.cz/getattachment/Prave-menu/Mezinarodni-setreni/Vyuziti-vysledku-vyzkumu/Vyuziti-vysledku-vyzkumu-seznam-clanku/Ulohy-pro-rozvoj-ctenarske-gramotnosti/Ulohy_pro_rozvoj_ctenarske_gramotnosti.pdf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