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82-m-4/AE99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seznámení žáků s problematikou tvorby zadání zásadní pro komunikaci ve vztahu zadavatel a výtvarník. Žák se seznámí s technologickými a výrobními kritérii tvorby, s aplikací výtvarného výstupu a s cílovou skupinou pro daný výstup.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 vypracuje projekt tvorby zadání, následně vytvoří požadovaný produkt a charakterizuje zpětnou vazba projektu.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 obsah a smysl zadání výtvarného výstupu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rozpozná dostatečné a nedostatečné zadání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vypracuje projekt tvorby zadání,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 vytvoření produktu charakterizuje zpětnou vazbu 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vzdělání: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Charakteristika tvorby zadání pro výtvarně kreativní činnost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základní pojmy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struktura a základní náležitosti zadání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Prvky zadání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nezbytné prvky správného zadání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technologická a výrobní kritéria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aplikace výtvarného výstupu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Vztah zadavatele a tvůrce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předmět činnosti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role v procesu zadávání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cílová skupina výstupu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reference produktů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Tvorba vlastního zadání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vytvoření požadovaného produktu a zpětná vazba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odborný výklad s prezentací a hostem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ukázky a charakteristika základních pojmů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praktická cvičení formou semináře a hry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teoretická část (teoretický popis tématu, postupů)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praktická část (vytvoření požadovaného produktu a zpětná vazba)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6 až 10 stran včetně příloh (skicy, fotografie,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seznámí se s tvorbou zadání pro výtvarně kreativní činnost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charakterizuje prvky zadání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charakterizuje a popíše vztah zadavatele a tvůrce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vytvoří vlastní zadání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nebo 4.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základní pojmy a terminologie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diskuze k tématu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vypracovaní projektu tvorby zadání pro výtvarně kreativní činnost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teoretické i praktické dovednosti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tvorba zadání pro výtvarně kreativní činnost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prvky zadání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vztah zadavatele a tvůrce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tvorba vlastního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1 – student smysluplně reaguje v diskuzi, je schopen analyzovat zadání obsažená v zadání úkolů a opravit či doplnit případné nedostatky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2 –  student obecné problematice rozumí, není však schopen nabyté poznatky aplikovat komplexně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3 – student obecné problematice rozumí, není však schopen nabyté poznatky aplikovat bez značných zásahů a pomoci pedagoga a kolektivu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4 – student jeví pouze povšechné znalosti problematiky, není je schopen aplikovat na konkrétních příkladech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hranice úspěšnosti zkoušky – student problematiku zcela nezvládl, nechápe princip zadání ani jeho důležitost pro cílevědomou výtvarnou práci v komerční sféře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ŘEZÁČ Jan. Web ostrý jako břitva. House of Řezáč, 2016. 216 s. ISBN 978-80-8792-301-6.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KOLEKTIV AUTORŮ. 365 přikázání grafického designu, Praha: Slovart, 2018.  384 s. ISBN: 978-80-7529-554-5.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