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Víme, co říkáme a píšeme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ČJ-m-2/AD17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ČJ - Český jazyk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komunikace a slohu.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Komunikace a sloh a je úzce propojen s moduly Píšeme správně česky a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učí využívat různé komunikační strategie v různých komunikačních situacích, naučí se volit formu mluveného i písemného projevu adekvátní účelu textu, a to při respektování slohotvorných činitelů. Využívají přitom znalosti základních charakteristických rysů vybraných funkčních stylů (zejména administrativního a odborného) a slohových postupů a útvarů. Za současného respektování zásad jazykové kultury vytvářejí jednodušší myšlenkově strukturované, a přitom ucelené a koherentní texty.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jednoduchý souvislý, ucelený a strukturovaný text adekvátní komunikační situaci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pronese krátký mluvený projev v různých komunikačních situacích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Předmětem modulu je vytváření textů pro různé komunikační situace v psané i mluvené podobě. Mluvené a psané komunikaci je věnována přibližně stejná časová dotace.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textů pro běžné životní komunikační situace (formální i neformální korespondence – administrativní interakce);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monologická vystoupení žáků (o vlastní osobě);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formální i neformální interakce (mluvená, psaná v papírové i elektronické podobě);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modelová komunikace v problematických situacích (kritika, manipulace, konflikt…);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souladu prostředků verbální a nonverbální komunikace;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role vyučujícího – porovnání výhod/nevýhod prostředků užívaných v psaných a mluvených projevech, vytváření modelových komunikačních situací…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užíváno prvků formativního hodnocení, na konci modulu je využito nástrojů sumativního i formativního hodnocení. Závěrečné hodnocení u výsledku učení a) má podobu žákem vytvořeného písemného projevu podle zadaných kritérií. U výsledku učení b) je žák hodnocen na škále uspěl – neuspěl, a to na základě průběžného hodnocení. Předmětem hodnocení je zde především dosažený pokrok v dovednostech potřebných k uplatnění v běžných mluvených komunikačních situacích.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u obou výsledků učení se používá formativní hodnocení, přičemž důraz je kladen na skutečnost, že hodnocení je nástrojem vedoucím ke zvyšování úrovně daných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žákova písemného projevu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funkčnost užitých jazykových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kompoziční výstavbu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jazykovou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 celkovém hodnocení písemného projevu váhu 25 %. Všechna kritéria jsou hodnocena na škále uspěl – neuspěl. Případné bodové hodnocení v rámci jednotlivých kritérií je v kompetenci vyučujícího v závislosti na podmínkách konkrétní školy. Žák v této části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modulu uspěl, pokud uspěl v obou výsledcích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Müllerová, O. - Hoffmannová, J.: Dialog v hodinách češtiny 2. Praha, Pansofia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modul až po absolvování modulů Píšeme správně česky a Mluvíme správně česky.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