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období středověku. Žák se seznámí s uměním jednotlivých slohů středověku (architektury, sochařství, malířství) a uměleckořemeslnými výrobky (nábytek, techniky jejich zhotovení 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identifikuje umělecké objekty středověku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uměním jednotlivých slohů středověku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umění časného středověku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Byzantská říše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Velká Morava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umění vrcholného středověku v architektuře, sochařství, malířství, památky v Evropě a českých zemích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románský sloh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gotika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uměleckořemeslnými výrobky (nábytkem, technikou jejich zhotovení)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Umění jednotlivých slohů středověku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umění časného středověku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Byzantská říše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Velká Morava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umění vrcholného středověku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románský sloh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gotika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architektura, sochařství, malířství, památky v Evropě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architektura, sochařství, malířství, památky v českých zemích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uměleckořemeslné zpracování dřeva v odbobí středověku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ornamenty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nábytek v období středověku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informací, vytvoření presentace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umění středověku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uměleckořemeslné techniky a  uměleckořemeslné zpracování dřeva v období středověku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 rozebere umělecké dílo v období středověku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umění umění středověku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uměleckořemeslné techniky a  uměleckořemeslné zpracování dřeva v období středověku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rozbor uměleckého díla v období středověku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Průvodce výtvarným uměním 2,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1,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Stilkunde fur Schreiner: Th.Schafer, 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