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písma v designu webové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 Základy HTML, HTML5, CSS – Kaskádové styly, W3C, SEO optimalizace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 v oblasti užití písma v designu webové stránky. Technologické aspekty, zdroje a licencování. Žák se seznámí s názvoslovím, klasifikací písem a určením vhodnosti použití daného fontu v designu webu. 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vyjmenuje dělení písma, používá názvosloví a technologické aspekty, popíše problematiku licencování, žák je schopen aplikovat získané znalosti do vlastní práce a pracovat na zadaném úkolu 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typografické názvosloví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vhodnost užití kombinace více fontů na stránku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navržení i realizaci webu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zdroje licencovaných i volně použitelných písem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prvky licenční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Velikost písma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 mobil: 14–16 px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 desktop: 16–22 px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Šírka řádku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ideální šířka řádku (45-80 znaky)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Výška řádku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CSS je to line-height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čím delší je řádek, tím větší musí být výška řádku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čím menší je písmo, tím větší musí být výška řádku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Kontrast a světlost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hutnost nebo pocit těžkosti písma na stránce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Rytmus (vodorovný i svislý)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umístění písma na mřížku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Typografická škála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poměr velikosti nadpisů, podnadpisů, úvodu (perexu) a běžného textu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Vhodnost užití písma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účel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obsah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rodina písem (řezy)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česká znaková sada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Licence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open source–Google Fonts, Open–Foundry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licence placená–omezení na jeden a více desktop zařízení, nebo počet zobrazení na webu (myfonts.com)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free licence pro osobní účely, ne vždy je free licence povolena pro webové 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odborný výklad s prezentací a ukázkami (seznámení s tvorbou webu a práse s typografií a sazbou, klasifikace písem, typografické zásady, licence)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provedení vlastního webdesignu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teoretická část (teoretický popis tématu - práce s typografií)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praktická část (provádí webdesign s množstvím textu, dbá na čitelnost a vizuální poutavost...)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seznámí se a následně používá klasifikaci písem a typografické názvosloví, typografické zásady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vymezí vhodnost užití při designu vlastního webu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používá 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vymezí zdroje licencovaných i volně použitelných písem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vyjmenuje prvky licenční smlouvy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provedení vlastního webdesignu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klasifikaci písem a typografické názvosloví, typografické zásady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užití fontů v designu vlastního webu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zdroje licencovaných i volně použitelných písem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prvky licenční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 - nedovede samostatně studovat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 Vladimír, kolektiv autorů; Typografický manuál;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ŘEZÁČ, Jan; Web ostrý jako břitva;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