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CNC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23-m-4/AP72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programování a obsluha strojů s CNC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CNC obráběcích strojích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nástroje,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nástroje pro CNC obráběcí stroj s použitím optických přístrojů nebo vlastních funkcí CNC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jednoduché výrobky a dílčí operace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vkládá programy do CNC stroje, přezkušuje je a provádí jejich korekce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 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strojem, propojení, spuštění, aktivace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režimy provozu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a seřízení nástrojů, korekce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počátku souřadného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výchozí bod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zápis programu, operace s programem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 na CNC obráběcích strojích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programu pro CNC stroj, simulace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CNC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Manuál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