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Krovy a vaznicové soustavy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36-m-4/AP11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krovy a vaznicové systémy. Žák se seznámí se zásadami provádění krovů, vikýřů, lodžií, střešních oken a mansard. Po absolvování modulu bude žák schopen rozlišovat základní typy krovových soustav, žák bude schopen navrhnout v základních mantinelech podkroví a konstrukční řešení vikýřů, lodžií, střešních oken a mansard.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základní návrh sklonité střechy;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tvary šikmých střech a druhy krovových soustav;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prvky krovu a uvede jejich funkci;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určený druh krovu včetně zajištění prostorové tuhosti;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konstrukční řešení vikýřů, lodžií, střešních oken a mansard;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tesařských spojů;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zásady návrhu obytného podkroví u tradičních a novodobých krovů,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protipožární opatření u dřevěných krovů,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prokáže znalost základních druhů střešních krytin.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dřevěných krovů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Krovy a vaznicové soustavy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tvary šikmých střech a druhy krovových soustav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prvky krovu a jejich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druhu krovu včetně zajištění prostorové tuhosti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konstrukční řešení vikýřů, lodžií, střešních oken a mansard (vč. protipožární ochrany a typů střešních krytin)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tesařských spojů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návrhu obytného podkroví u tradičních a novodobých krovů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 jednotlivých typů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podkroví a/nebo krovu a/nebo střechy. Při ústním zkoušení bude hodnocena celková orientace žáka v problematice krovů a vaznicových soustav.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jednoduchou konstrukci podkroví/krovu/střechy,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Krovy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Střešní okna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Vikýře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Lodžie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Mansardy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Obytné podkroví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konstrukce podkroví/krovu/střechy.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