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kov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UK-m-3/AN30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je určen žákům středních škol uměleckých vzdělávacích oborů a směřuje do oblasti teoretické a obecně kulturní přípravy ve vztahu ke kovům jako jedné ze základních materiálových oblastí uměleckého zpracování surovin a materiálů.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kovů, učí se rozeznat charakteristické znaky a projevy zpracování kovů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kovu.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kovů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 kovy.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kovů;</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kovů;</w:t>
      </w:r>
    </w:p>
    <w:p xmlns:w="http://schemas.openxmlformats.org/wordprocessingml/2006/main">
      <w:pPr>
        <w:pStyle w:val="ListParagraph"/>
        <w:numPr>
          <w:ilvl w:val="0"/>
          <w:numId w:val="1"/>
        </w:numPr>
      </w:pPr>
      <w:r>
        <w:t xml:space="preserve">významná centra a osobnosti v dějinách zpracování kovů;</w:t>
      </w:r>
    </w:p>
    <w:p xmlns:w="http://schemas.openxmlformats.org/wordprocessingml/2006/main">
      <w:pPr>
        <w:pStyle w:val="ListParagraph"/>
        <w:numPr>
          <w:ilvl w:val="0"/>
          <w:numId w:val="1"/>
        </w:numPr>
      </w:pPr>
      <w:r>
        <w:t xml:space="preserve">základní výsledky tvůrčí umělecké činnosti z hlediska dějin zpracování kovů;</w:t>
      </w:r>
    </w:p>
    <w:p xmlns:w="http://schemas.openxmlformats.org/wordprocessingml/2006/main">
      <w:pPr>
        <w:pStyle w:val="ListParagraph"/>
        <w:numPr>
          <w:ilvl w:val="0"/>
          <w:numId w:val="1"/>
        </w:numPr>
      </w:pPr>
      <w:r>
        <w:t xml:space="preserve">regionální provazby a český kulturněhistorický kontext.</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kovů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kovů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 kovy;</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nižší a průměrnou úrovní obtížnosti. Zařazení nepřiměřeně obtížných úloh by vyvolávalo potřebu posunovat mezní hranici úspěšnosti a použitý evaluační nástroj (test / soubor úloh / pracovní list)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Révay, P. – Vondruška Š.: Umělecké kovářství. Praha, Grada 2010.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