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Žena v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vytvořených ženami / reflektujících obrazy žen;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vytvořené ženami / reflektující obrazy žen;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vytvořeného ženou / zachycujícího obrazy žen.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ženy v literatuře,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ženské autorky a ženská poetika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ženské psaní a čtení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obrazy žen v 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obraz mateřství v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Sapfó, W. Woolfová, E. Dickinsová, J. Austenová, T. Morrisonová, J. Zeh, D. Masłowska, E. Jellineková, S. de Beauvoir, B. Němcová, K. Světlá, M. Pujmanová, P. Hůlová, Z. Brabcová, P. Soukupová, K. Tučková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Jeptiška, Nora, Matka, Lolita, Anna Kareninová, Paní Bovaryová, Čarodějky z Eastwicku, Katyně, Nesmrtelnost, Sestra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vytvořených ženami / reflektujících obrazy žen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autoři/autorky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zpracování obrazů žen v dílech vybraných autorek a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vytvořené ženami / reflektující obrazy žen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ženského psaní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považovaných za „ženské“ / rozpozná specifické prostředky básnického jazyka považovaných za „ženské“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vytvořeného ženou / zachycujícího obrazy žen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autorů/autorek, resp. literárních děl učitelem + případná specifika ženské literatury v jiných uměleckých oblastech (možno také jako dílčí projekty žáků – samostatná práce žáků s předvedením výstupů, např. Žena ve válce; Žena hrdina a muž hrdina; Sílící hlasy žen v literatuře; Hodiny – videoukázka s 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vytvořených ženami / reflektujících obrazy žen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vytvořené ženami / reflektující obrazy žen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považované za „ženskou“ literaturu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vytvořeného ženou / zachycujícího obrazy žen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