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Krize univerzálního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krizi univerzálního;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reprezentativní pro krizi univerzálního;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reprezentativní pro krizi univerzálního.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krize univerzálního,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Historický exkurs do nálad konců století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Literatura po realismu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Experimenty s textem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Vybrané -ismy a jejich projevy ve světové i české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A. P. Čechov, L. Klíma, I. Hlaváček, V. Dyk, A. Sova, K. Toman, F. Šrámek, J. S. Machar, F. X. Šalda, F. Nietzsche, F. Kafka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dle vlastního výběru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krizi univerzálního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krize univerzálního u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reprezentativní pro krizi univerzálního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 textu prvky vyjadřující krizi univerzálního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považovaných za reprezentativní pro téma krize univerzálního / rozpozná specifické prostředky básnického jazyka textů považovaných za reprezentativní pro téma krize univerzálního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reprezentativní pro krizi univerzálního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daných hnutí a směrů v jiných uměleckých oblastech (možno také jako dílčí projekty žáků – samostatná práce žáků s předvedením výstupů, např. Svět postav Ladislava Klímy, Nadčlověk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krizi univerzálního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reprezentativní pro krizi univerzálního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považované za reprezentativní pro téma krize univerzálního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reprezentativní pro krizi univerzálního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