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píšeme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komunikace a slohu.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 moduly Píšeme správně česky.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 nejrůznějších komunikačních situacích, naučí se volit formu písemného projevu adekvátní účelu textu, a to při respektování slohotvorných činitelů. Využívají přitom znalosti základních charakteristických rysů funkčních stylů a slohových postupů a útvarů. Za současného respektování zásad jazykové kultury vytvářejí myšlenkově strukturované, a přitom ucelené a koherentní texty.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charakterizuje jednotlivé funkční styly, slohové postupy a útvary;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souvislý, ucelený a strukturovaný text odpovídající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napíše odborný text v oblasti daného oboru vzdělání;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prakticky použít útvary administrativního stylu.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textů pro různé komunikační situace v psané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psaní textů pro běžné životní komunikační situace (formální i neformální korespondence – administrativní interakce)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psaní odborných textů v souladu s předmětným oborem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formální i neformální interakce (psaná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texty různých funkčních stylů (volba slovní zásoby, hodnocení syntaktických prostředků)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grafické a formální úpravy jednotlivých písemných projevů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zdroji psaných textů a jejich zpracovávání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výsledků učení  b), c) a d) má podobu žákem vytvořeného písemného projevu podle zadaných kritérií. U výsledku učení a) je žák hodnocen na škále uspěl – neuspěl, a to na základě průběžného hodnocení. Předmětem hodnocení je zde především dosažený pokrok v dovednostech potřebných k uplatnění v běžných komunikačních situacích, ale i znalosti potřebné k úspěšnému zvládnutí maturitní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formativní hodnocení, přičemž důraz je kladen na skutečnost, že hodnocení je nástrojem vedoucím ke zvyšování úrovně daných dovedností i s ohledem na výstup u maturitní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– výsledky učení b), c) a d) – 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kompoziční výstavbu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jazykovou správnost;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grafickou a formální úpravu textu.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20 %. Všechna kritéria jsou hodnocena na škále uspěl – neuspěl. Případné bodové hodnocení v rámci jednotlivých kritérií je v kompetenci vyučujícího v závislosti na podmínkách konkrétní školy. Žák v této části uspěl, pokud uspěl ve všech kritériích.          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 lze případně využít             objektivizovaného evaluačního nástroje, tedy souhrnným testem nebo pracovním listem / pracovními listy. V takovém případě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 úspěšnost žáka pod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 úspěšnost žáka od 40 do 55 %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 úspěšnost žáka od 56 do 70 %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 úspěšnost žáka od 71 do 85 %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</w:t>
      </w:r>
      <w:r>
        <w:t xml:space="preserve">: úspěšnost žáka od 86 do 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Praha,  Academia,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Kocourková, A. - Hochová, I.: Písemná a elektronická komunikace. Praha, Eduko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Kuldová, O.- Fleischmannová, E.: Jak psát obchodní dopisy a jiné písemnostii. Praha, Fortuna 2007.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Kraus, J. - Hoffmannová, J.: Písemnosti v našem životě. Praha, Fortuna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až po absolvování modulů Píšeme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