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čtenářských dovedností žáků a jeho smyslem je upevnění a další rozvoj dovedností v oblasti práce s informacemi. Žáci se učí rozlišovat mezi různými typy textů a osvojují si dovednost toto rozlišení zdůvodnit. Předmětem modulu je také zpracování informací ze čteného textu a jejich základní interpretace. V modulu se pracuje se souvislými (lineárními) i nesouvislými (nelineárními) texty včetně jejich kombinací. Žáci si v modulu rovněž osvojují dovednosti sebeprezentace a obhajoby vlastních názorů.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 tištěném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význam konkrétní části tištěného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obhájí své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 tištěném textu fakta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objasní, kdo je autorem a kdo příjemcem textu (využije znalostí slohotvorných činitelů);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prezentuje vlastní názor na text a obhájí vlastní tvrzení;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ve zdrojích informací (knihovny, noviny, časopisy, internet, bulvár).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 informacemi od jejich příjmu přes posouzení až k jejich samostatnému zpracování. Pracuje se s tištěnými souvislými i nesouvislými (graf, obrázek, mapa, tabulka, schéma…)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tematickými soubory úloh zaměřenými na rozvoj a ověřování čtenářských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(práce s úlohami i pracovními listy může probíhat individuálně i ve skupinách)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přečteného textu do formy prezentace a její předvedení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obhajoba prezentace v diskusi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diskuse k problematice prezentování faktů, názorů a domněnek prostřednictvím mluveného slova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ukázkami obsahujícími prvky manipulativního charakteru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nejrůznějšími zdroji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 tištěném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význam konkrétní části tištěného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obhájí své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 tištěném textu fakta a domněnky;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objasní, kdo je autorem a kdo příjemcem textu (využije znalostí slohotvorných činitelů);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ve zdrojích informací (knihovny, noviny, časopisy, internet, bulvár);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a)–e) a g) jsou ověřovány v závěru modulu souhrnným testem, jehož specifikací jsou předmětné výsledky učení. Základní nastavení specifikace testu je asi 17%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prezentuje vlastní názor na text a obhájí vlastní 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individuální prezentace žáka a obhajobou jeho prezentace v 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a)–e) a g)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f) je hodnocen na základě průběžného hodnocení, a to na škále uspěl – neuspěl.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f).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https://www.csicr.cz/getattachment/Prave-menu/Mezinarodni-setreni/Vyuziti-vysledku-vyzkumu/Vyuziti-vysledku-vyzkumu-seznam-clanku/Ulohy-pro-rozvoj-ctenarske-gramotnosti/Ulohy_pro_rozvoj_ctenarske_gramotnosti.pdf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Kritické listy: občasník pro kritické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 češtiny pro školu a veřejnost.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Praha, Nakladatelství ČSAV, 1960–1971, 4 sv.; reedice Academia, Praha 1989, 8 sv.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slovník jazyka českého. Praha, Státní nakladatelství / SPN, 1935–1957.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Nový akademický slovník cizích slov. Praha, Academia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češtině. Praha, Academia 1998.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 2. Praha, Academia 2004.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Hugo, J.: a kol.: Slovník nespisovné češtiny. Praha, Maxdorf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sbírky testových úloh, 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csicr.cz/getattachment/Prave-menu/Mezinarodni-setreni/Vyuziti-vysledku-vyzkumu/Vyuziti-vysledku-vyzkumu-seznam-clanku/Ulohy-pro-rozvoj-ctenarske-gramotnosti/Ulohy_pro_rozvoj_ctenarske_gramotnosti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