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výběr pracovního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06. 2019 17:49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pro vybranou pracovní činnost pracovní stroje použité při jejím vykonání. Seznámí žáky s konstrukcí pracovního stroje, bezpečností práce a základními servisními zásahy.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strojů a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pracovní stroje je podle základních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pracovní stroje ve strojních linkách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Vyhledání a zpracování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tvořena pracovním listem se zaměřením na určení hlavních částí pracovních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Druhou částí komplexní úlohy je návrh a základní výpočty technických parametrů pracovního stroje na základě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kombinovaná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 a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Prospektové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s doplněním hlavních částí pracovních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seminární práce na zadané téma z oblasti pracovních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prezentace, jíž seznámí ostatní žáky s vybraným pracovním strojem.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90 – 100 %    … 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80 –  89 %     … 2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66 –  79 %    …  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40 –  65 %     … 4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0 –  39 %      …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DOLEČEK. HOLOUBEK. </w:t>
      </w:r>
      <w:r>
        <w:rPr>
          <w:i/>
        </w:rPr>
        <w:t xml:space="preserve">Strojnictví. </w:t>
      </w:r>
      <w:r>
        <w:t xml:space="preserve">Praha, SOBOTÁLES,2001. 192s. ISBN 80-85920-26-3.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 K. </w:t>
      </w:r>
      <w:r>
        <w:rPr>
          <w:i/>
        </w:rPr>
        <w:t xml:space="preserve">Strojnictví-Části strojů</w:t>
      </w:r>
      <w:r>
        <w:t xml:space="preserve">.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 a  kolektiv. </w:t>
      </w:r>
      <w:r>
        <w:rPr>
          <w:i/>
        </w:rPr>
        <w:t xml:space="preserve">Základy strojnictví.</w:t>
      </w:r>
      <w:r>
        <w:t xml:space="preserve"> Praha, Sobotáles, 2004. 290s.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Zadani-Pracovni-stroje.docx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Navrh-reseni-Pracovni-stroje.docx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Prezentace-Pracovni-stroje.pptx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729/Zadani-Pracovni-stroje.docx" TargetMode="External" Id="rId9"/>
  <Relationship Type="http://schemas.openxmlformats.org/officeDocument/2006/relationships/hyperlink" Target="https://dev-nuvis.rails.cz//uploads/mov/attachment/attachment/81730/Navrh-reseni-Pracovni-stroje.docx" TargetMode="External" Id="rId10"/>
  <Relationship Type="http://schemas.openxmlformats.org/officeDocument/2006/relationships/hyperlink" Target="https://dev-nuvis.rails.cz//uploads/mov/attachment/attachment/81731/Prezentace-Pracovni-stroje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