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Administrativa při nákupu zboží a vyřízení závady v dodávce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09:48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vybrat a správně vystavit účetní písemnost k příslušné obchodní operaci. Jedná se o vystavení objednávky, potvrzení objednávky, faktury, reklamačního listu a vyjádření k reklamaci. Žák pracuje se znalostmi, které získal v modulu Nákup zboží.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formulář písemnosti dle obsahu obchodní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obchodní dopis – potvrzení objednávky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dodací list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fakturu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závady v dodávce a vyplní reklamační list s návrhem na řešení reklamace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obchodní dopis – vyjádření k reklamaci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zvolí vhodný formulář písemnosti dle obsahu obchodní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přečtení zadání si žák probere všechny přílohy zadané úlohy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si pořadí vystavení účetních dokladů vztahujících se k obchodním operacím (nákup – prodej zboží)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ve spolupráci s učitelem nebo samostatně vybere vhodný formulář k vyplnění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doplní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vyplní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údaji souvisejícími s vystavením objednávky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 označí si údaje odběratele a dodavatele, potřebné pro vystavení účetních dokladů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za odběratele objednávku na zboží dle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zpracuje potvrzení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hlavičkový papír dodavatele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hlavička musí obsahovat označení firmy a obrázek (logo firmy), při dodržení pravidel tvorby hlavičkového papíru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grafickou úpravu hlavičkového papíru konzultuje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potvrzení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stylizaci textu obchodního dopisu konzultuje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všechny náležitosti obchodního dopisu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vyplní dodací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 údaji souvisejícími s vystavením dodacího listu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vystaví za dodavatele dodací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vyplní fakturu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 údaji souvisejícími s vystavením faktury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vystaví za dodavatele fakturu se všemi formálními náležitostmi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výpočty provede pomocí kalkulačky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6) určí závady v dodávce a vyplní reklamační list s návrhem na řešení reklamace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zjistí dle zadání závady v dodávce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vhodný způsob vyřízení reklamace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chyby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7) zpracuje potvrzení přijetí reklamace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zpracuje na PC obchodní dopis – potvrzení přijetí reklamace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použije již vytvořený hlavičkový papír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stylizaci textu konzultuje s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zkontroluje všechny náležitosti obchodního dopisu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obdrží zadání v tištěné podobě včetně pracovního listu a tiskopisů.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prostuduje zadání úkolu a dostane prostor pro upřesňující dotazy k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 upřesnění a vysvětlení zadání žák pracuje samostatně na řešení komplexní úlohy.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může návodnými otázkami žákovi dopomoci ke správnému řešení.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pracovního listu vede k třídění údajů a správnému vyplnění tiskopisů.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této úlohy bude zpracovaný pracovní list, vystavená objednávka, potvrzení objednávky, dodací list, faktura, vyplněný reklamační list a vyjádření k reklamaci.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vytištěné dokumenty seřadí chronologicky za sebou do složky, kterou odevzdá k hodnocení. Učitel rozhodne, zda výstup žáka bude v elektronické nebo tištěné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hlubší ověření znalostí a dovedností spojených s administrativou při nákupu zboží poslouží použití jiných formulářů. (Žák nepracuje dle návyku, ale musí aplikovat nabyté znalosti.)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běžné učebně a v učebně ICT v průběhu realizace modulu „Nákup zboží“.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možno využít i bez realizace uvedeného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souvislého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hospodářské tiskopisy – potřebné tiskopisy jsou přílohou komplexní úlohy. Učitel může žákům předložit tyto tiskopisy, nebo připravit tiskopisy, které znají z dřívější výuky a se kterými jsou zvyklí pracovat.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ke komplexní úloze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PC, MS Word, 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řešení komplexní úlohy za každého žáka bude: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zpracovaný pracovní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vystavená objednávka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potvrzení objednávky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dodací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vystavená faktura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 reklamační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potvrzení přijetí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za řešení komplexní úlohy může získat celkem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pracovního listu max. 15 bodů</w:t>
      </w:r>
      <w:r>
        <w:t xml:space="preserve">, aby žák získal bod, musí správně určit předepsané údaje, za špatně určený či nevyplněný údaj se bod nepřiznává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objednávky 5 nebo 0 bodů</w:t>
      </w:r>
      <w:r>
        <w:t xml:space="preserve">, aby žák získal 5 bodů, musí být objednávka vystavena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potvrzení objednávky 10 nebo 0 bodů</w:t>
      </w:r>
      <w:r>
        <w:t xml:space="preserve">, aby žák získal 10 bodů, musí být správně vytvořen hlavičkový papír a potvrzení objednávky zpracováno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dodacího listu 10 nebo 0 bodů</w:t>
      </w:r>
      <w:r>
        <w:t xml:space="preserve">, aby žák získal 10 bodů, musí být dodací list vystaven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faktury 10 nebo 0 bodů</w:t>
      </w:r>
      <w:r>
        <w:t xml:space="preserve">, aby žák získal 10 bodů, musí být faktura vystavena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vyplnění reklamačního listu 5 nebo 0 bodů</w:t>
      </w:r>
      <w:r>
        <w:t xml:space="preserve">, aby žák získal 5 bodů, musí být reklamační list vyplněn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potvrzení přijetí reklamace 5 nebo 0 bodů</w:t>
      </w:r>
      <w:r>
        <w:t xml:space="preserve">, aby žák získal 5 bodů, musí být potvrzení přijetí reklamace zpracováno bezchybně, vyskytne-li se chyba, žák nezíská žádný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Převodová tabulka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Vyjádření v %</w:t>
            </w:r>
          </w:p>
        </w:tc>
        <w:tc>
          <w:tcPr/>
          <w:p>
            <w:r>
              <w:rPr>
                <w:b/>
              </w:rPr>
              <w:t xml:space="preserve">Body</w:t>
            </w:r>
          </w:p>
        </w:tc>
        <w:tc>
          <w:tcPr/>
          <w:p>
            <w:r>
              <w:rPr>
                <w:b/>
              </w:rPr>
              <w:t xml:space="preserve">Hodnocení</w:t>
            </w:r>
          </w:p>
        </w:tc>
      </w:tr>
      <w:tr>
        <w:tc>
          <w:tcPr/>
          <w:p>
            <w:r>
              <w:t xml:space="preserve">100% - 88%</w:t>
            </w:r>
          </w:p>
        </w:tc>
        <w:tc>
          <w:tcPr/>
          <w:p>
            <w:r>
              <w:t xml:space="preserve">60 - 53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87% - 75%</w:t>
            </w:r>
          </w:p>
        </w:tc>
        <w:tc>
          <w:tcPr/>
          <w:p>
            <w:r>
              <w:t xml:space="preserve">52 - 45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74% - 63%</w:t>
            </w:r>
          </w:p>
        </w:tc>
        <w:tc>
          <w:tcPr/>
          <w:p>
            <w:r>
              <w:t xml:space="preserve">44 - 38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62% - 50%</w:t>
            </w:r>
          </w:p>
        </w:tc>
        <w:tc>
          <w:tcPr/>
          <w:p>
            <w:r>
              <w:t xml:space="preserve">37 - 30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méně než 50%</w:t>
            </w:r>
          </w:p>
        </w:tc>
        <w:tc>
          <w:tcPr/>
          <w:p>
            <w:r>
              <w:t xml:space="preserve">méně než 30 bodů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komplexní úlohy je zadání souvislého příkladu, dále pracovní list pro žáka a složka hospodářských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je k dispozici správné řešení pracovního listu a vyplněné tiskopisy.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zadani-souvisleho-prikladu.docx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tiskopis-1_formular.doc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tiskopis-2_formular.doc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dodaci-list_formular.xlsx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dodaci-list_reseni.xlsx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faktura_formular.xlsx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faktura_reseni.xlsx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objednavka_formular.xlsx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objednavka_reseni.xlsx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potvrzeni-objednavky_reseni.docx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potvrzeni-prijeti-reklamace_reseni.docx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reklamacni-list_formular.xlsx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reklamacni-list_reseni.xlsx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157/zadani-souvisleho-prikladu.docx" TargetMode="External" Id="rId9"/>
  <Relationship Type="http://schemas.openxmlformats.org/officeDocument/2006/relationships/hyperlink" Target="https://dev-nuvis.rails.cz//uploads/mov/attachment/attachment/81158/pracovni-list_zak.docx" TargetMode="External" Id="rId10"/>
  <Relationship Type="http://schemas.openxmlformats.org/officeDocument/2006/relationships/hyperlink" Target="https://dev-nuvis.rails.cz//uploads/mov/attachment/attachment/81159/pracovni-list-reseni.docx" TargetMode="External" Id="rId11"/>
  <Relationship Type="http://schemas.openxmlformats.org/officeDocument/2006/relationships/hyperlink" Target="https://dev-nuvis.rails.cz//uploads/mov/attachment/attachment/81160/tiskopis-1_formular.doc" TargetMode="External" Id="rId12"/>
  <Relationship Type="http://schemas.openxmlformats.org/officeDocument/2006/relationships/hyperlink" Target="https://dev-nuvis.rails.cz//uploads/mov/attachment/attachment/81161/tiskopis-2_formular.doc" TargetMode="External" Id="rId13"/>
  <Relationship Type="http://schemas.openxmlformats.org/officeDocument/2006/relationships/hyperlink" Target="https://dev-nuvis.rails.cz//uploads/mov/attachment/attachment/81162/dodaci-list_formular.xlsx" TargetMode="External" Id="rId14"/>
  <Relationship Type="http://schemas.openxmlformats.org/officeDocument/2006/relationships/hyperlink" Target="https://dev-nuvis.rails.cz//uploads/mov/attachment/attachment/81163/dodaci-list_reseni.xlsx" TargetMode="External" Id="rId15"/>
  <Relationship Type="http://schemas.openxmlformats.org/officeDocument/2006/relationships/hyperlink" Target="https://dev-nuvis.rails.cz//uploads/mov/attachment/attachment/81164/faktura_formular.xlsx" TargetMode="External" Id="rId16"/>
  <Relationship Type="http://schemas.openxmlformats.org/officeDocument/2006/relationships/hyperlink" Target="https://dev-nuvis.rails.cz//uploads/mov/attachment/attachment/81165/faktura_reseni.xlsx" TargetMode="External" Id="rId17"/>
  <Relationship Type="http://schemas.openxmlformats.org/officeDocument/2006/relationships/hyperlink" Target="https://dev-nuvis.rails.cz//uploads/mov/attachment/attachment/81166/objednavka_formular.xlsx" TargetMode="External" Id="rId18"/>
  <Relationship Type="http://schemas.openxmlformats.org/officeDocument/2006/relationships/hyperlink" Target="https://dev-nuvis.rails.cz//uploads/mov/attachment/attachment/81167/objednavka_reseni.xlsx" TargetMode="External" Id="rId19"/>
  <Relationship Type="http://schemas.openxmlformats.org/officeDocument/2006/relationships/hyperlink" Target="https://dev-nuvis.rails.cz//uploads/mov/attachment/attachment/81168/potvrzeni-objednavky_reseni.docx" TargetMode="External" Id="rId20"/>
  <Relationship Type="http://schemas.openxmlformats.org/officeDocument/2006/relationships/hyperlink" Target="https://dev-nuvis.rails.cz//uploads/mov/attachment/attachment/81169/potvrzeni-prijeti-reklamace_reseni.docx" TargetMode="External" Id="rId21"/>
  <Relationship Type="http://schemas.openxmlformats.org/officeDocument/2006/relationships/hyperlink" Target="https://dev-nuvis.rails.cz//uploads/mov/attachment/attachment/81170/reklamacni-list_formular.xlsx" TargetMode="External" Id="rId22"/>
  <Relationship Type="http://schemas.openxmlformats.org/officeDocument/2006/relationships/hyperlink" Target="https://dev-nuvis.rails.cz//uploads/mov/attachment/attachment/81171/reklamacni-list_reseni.xls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